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A68" w:rsidRDefault="00E81A68">
      <w:pPr>
        <w:rPr>
          <w:b/>
        </w:rPr>
      </w:pPr>
      <w:bookmarkStart w:id="0" w:name="_GoBack"/>
      <w:bookmarkEnd w:id="0"/>
      <w:r>
        <w:rPr>
          <w:b/>
        </w:rPr>
        <w:t>Appendix S1</w:t>
      </w:r>
    </w:p>
    <w:p w:rsidR="00E81A68" w:rsidRDefault="00E81A68">
      <w:pPr>
        <w:rPr>
          <w:b/>
        </w:rPr>
      </w:pPr>
      <w:r>
        <w:rPr>
          <w:b/>
        </w:rPr>
        <w:t>Supporting information for:</w:t>
      </w:r>
    </w:p>
    <w:p w:rsidR="00E81A68" w:rsidRDefault="00E81A68">
      <w:r>
        <w:t xml:space="preserve">Pintar M.R., &amp; Resetarits, Jr., W.J. </w:t>
      </w:r>
      <w:r w:rsidR="00DE71D6">
        <w:t>R</w:t>
      </w:r>
      <w:r>
        <w:t xml:space="preserve">efilling temporary ponds has timing-dependent effects on </w:t>
      </w:r>
      <w:r>
        <w:rPr>
          <w:i/>
        </w:rPr>
        <w:t>Hyla gratiosa</w:t>
      </w:r>
      <w:r>
        <w:t xml:space="preserve"> performance. </w:t>
      </w:r>
      <w:r>
        <w:rPr>
          <w:i/>
        </w:rPr>
        <w:t>Freshwater Biology</w:t>
      </w:r>
      <w:r>
        <w:t>.</w:t>
      </w:r>
    </w:p>
    <w:p w:rsidR="004A01F2" w:rsidRDefault="004A01F2"/>
    <w:p w:rsidR="004A01F2" w:rsidRPr="00B7472E" w:rsidRDefault="00B7472E">
      <w:r>
        <w:t xml:space="preserve">These are the results for the surviving larvae remaining in mesocosms at the end of our experiment on 4–7 November 2014. </w:t>
      </w:r>
      <w:r>
        <w:rPr>
          <w:i/>
        </w:rPr>
        <w:t>Hyla gratiosa</w:t>
      </w:r>
      <w:r>
        <w:t xml:space="preserve"> larvae are incapable of overwintering, </w:t>
      </w:r>
      <w:r w:rsidR="001873CB">
        <w:t xml:space="preserve">so </w:t>
      </w:r>
      <w:r>
        <w:t xml:space="preserve">these size and developmental measures </w:t>
      </w:r>
      <w:r w:rsidR="001873CB">
        <w:t>have relatively little value</w:t>
      </w:r>
      <w:r>
        <w:t xml:space="preserve"> </w:t>
      </w:r>
      <w:r w:rsidR="001873CB">
        <w:t>in a larger ecological context</w:t>
      </w:r>
      <w:r>
        <w:t xml:space="preserve"> given that none of these larvae would survival the ensuing winter. See the main text for additional information.</w:t>
      </w:r>
    </w:p>
    <w:p w:rsidR="00E81A68" w:rsidRDefault="00E81A68">
      <w:pPr>
        <w:rPr>
          <w:b/>
        </w:rPr>
      </w:pPr>
    </w:p>
    <w:p w:rsidR="00BF122F" w:rsidRPr="00BF122F" w:rsidRDefault="00BF122F">
      <w:pPr>
        <w:rPr>
          <w:b/>
        </w:rPr>
      </w:pPr>
      <w:r w:rsidRPr="00BF122F">
        <w:rPr>
          <w:b/>
        </w:rPr>
        <w:t>Methods</w:t>
      </w:r>
    </w:p>
    <w:p w:rsidR="00596EFA" w:rsidRDefault="00BF122F">
      <w:r>
        <w:t xml:space="preserve">Of the remaining larvae, we haphazardly sampled 16 individuals from each mesocosm. These 16 larvae were individual </w:t>
      </w:r>
      <w:r w:rsidR="00484A6C">
        <w:t>weighed</w:t>
      </w:r>
      <w:r>
        <w:t xml:space="preserve"> and photographed, </w:t>
      </w:r>
      <w:r w:rsidR="00DE71D6">
        <w:t>while</w:t>
      </w:r>
      <w:r>
        <w:t xml:space="preserve"> we measured their total length from photographs in ImageJ</w:t>
      </w:r>
      <w:r w:rsidR="001873CB">
        <w:t xml:space="preserve"> </w:t>
      </w:r>
      <w:r w:rsidR="001873CB" w:rsidRPr="001873CB">
        <w:rPr>
          <w:noProof/>
        </w:rPr>
        <w:t>(Schneider, Rasband &amp; Eliceiri, 2012)</w:t>
      </w:r>
      <w:r>
        <w:t>. We also determined the Gosner stage of the 16 sampled larvae</w:t>
      </w:r>
      <w:r w:rsidR="0061394B">
        <w:t xml:space="preserve"> </w:t>
      </w:r>
      <w:r w:rsidR="0061394B" w:rsidRPr="0061394B">
        <w:rPr>
          <w:noProof/>
        </w:rPr>
        <w:t>(Gosner, 1960)</w:t>
      </w:r>
      <w:r>
        <w:t xml:space="preserve">. The remaining individuals that we did not individual process were counted and cumulatively wet massed. </w:t>
      </w:r>
    </w:p>
    <w:p w:rsidR="00BF122F" w:rsidRDefault="00BF122F"/>
    <w:p w:rsidR="00BF122F" w:rsidRDefault="00BF122F">
      <w:r>
        <w:t xml:space="preserve">All larval size analyses included block as a random factor, as we tested for significance with approximate </w:t>
      </w:r>
      <w:r>
        <w:rPr>
          <w:i/>
        </w:rPr>
        <w:t xml:space="preserve">F </w:t>
      </w:r>
      <w:r>
        <w:t>tests (Type III Satterthwaite) in the lmerTest package v 2.0-36</w:t>
      </w:r>
      <w:r w:rsidR="0061394B">
        <w:t xml:space="preserve"> </w:t>
      </w:r>
      <w:r w:rsidR="0061394B" w:rsidRPr="0061394B">
        <w:rPr>
          <w:noProof/>
        </w:rPr>
        <w:t>(Kuznetsova, Brockhoff &amp; Christensen, 2017)</w:t>
      </w:r>
      <w:r w:rsidR="00E81A68">
        <w:t xml:space="preserve"> in R v 3.4.</w:t>
      </w:r>
      <w:r w:rsidR="00767526">
        <w:t>3</w:t>
      </w:r>
      <w:r w:rsidR="00E81A68">
        <w:t xml:space="preserve"> </w:t>
      </w:r>
      <w:r w:rsidR="00E81A68" w:rsidRPr="00E81A68">
        <w:rPr>
          <w:noProof/>
        </w:rPr>
        <w:t>(R Core Team, 2017)</w:t>
      </w:r>
      <w:r w:rsidR="0061394B">
        <w:t xml:space="preserve">. </w:t>
      </w:r>
      <w:r>
        <w:t>Gosner stage and survival were square root transformed (</w:t>
      </w:r>
      <m:oMath>
        <m:rad>
          <m:radPr>
            <m:degHide m:val="1"/>
            <m:ctrlPr>
              <w:rPr>
                <w:rFonts w:ascii="Cambria Math" w:hAnsi="Cambria Math"/>
                <w:i/>
              </w:rPr>
            </m:ctrlPr>
          </m:radPr>
          <m:deg/>
          <m:e>
            <m:r>
              <w:rPr>
                <w:rFonts w:ascii="Cambria Math" w:hAnsi="Cambria Math"/>
              </w:rPr>
              <m:t>X+0.5</m:t>
            </m:r>
          </m:e>
        </m:rad>
      </m:oMath>
      <w:r>
        <w:t>), and other measures of body size were log transformed. We analyzed Gosner stage of larvae using a mixed effect model with treatment as a fixed factor and overall survival as a fixed covariate. Larval mass and total length were analyzed independently with mixed effects models using overall survival and stage as covariates and treatment as a fixed factor. Larval body condition (size independent mass) was analyzed by mean-scaling mass to decouple variance from the measurement scale and means,</w:t>
      </w:r>
      <w:r w:rsidR="00BE3C88">
        <w:t xml:space="preserve"> regressing against total length</w:t>
      </w:r>
      <w:r>
        <w:t>, and using the residuals in a mixed effects model with overall survival and stage as covariates and treatment as a fixed factor</w:t>
      </w:r>
      <w:r w:rsidR="0061394B">
        <w:t xml:space="preserve"> </w:t>
      </w:r>
      <w:r w:rsidR="0061394B" w:rsidRPr="0061394B">
        <w:rPr>
          <w:noProof/>
        </w:rPr>
        <w:t>(Berner, 2011)</w:t>
      </w:r>
      <w:r>
        <w:t xml:space="preserve">. </w:t>
      </w:r>
    </w:p>
    <w:p w:rsidR="00BF122F" w:rsidRDefault="00BF122F"/>
    <w:p w:rsidR="00BF122F" w:rsidRPr="00BF122F" w:rsidRDefault="00BF122F">
      <w:pPr>
        <w:rPr>
          <w:b/>
        </w:rPr>
      </w:pPr>
      <w:r w:rsidRPr="00BF122F">
        <w:rPr>
          <w:b/>
        </w:rPr>
        <w:t>Results</w:t>
      </w:r>
    </w:p>
    <w:p w:rsidR="00BF122F" w:rsidRDefault="00BF122F">
      <w:r>
        <w:t xml:space="preserve">Developmental (Gosner) stage of the larvae at the end of the experiment was not affected by treatment and did not covary with survival (Table S1, Fig. S1e). Larval mass and body condition both covaried with both stage and overall survival, and were affected by treatment (Table S1). Larval mass and body condition were higher when overall survival was lower, among larvae at later developmental stages, and as mesocosms spent more time at low water levels (Fig. S1b,c). In Full mesocosms average mass was 1.20 g, 13 percent higher than the lowest average mass of 1.06 g in Low mesocosms. There were no effects in the larval total length analysis (Table S1; Fig. S1d). Excluding overall survival as a covariate did not affect the significance of any larval analyses, so we maintained it as a covariate. </w:t>
      </w:r>
    </w:p>
    <w:p w:rsidR="00BF122F" w:rsidRDefault="00BF122F"/>
    <w:p w:rsidR="00BF122F" w:rsidRDefault="00BF122F">
      <w:pPr>
        <w:rPr>
          <w:b/>
        </w:rPr>
      </w:pPr>
      <w:r>
        <w:rPr>
          <w:b/>
        </w:rPr>
        <w:t>References</w:t>
      </w:r>
    </w:p>
    <w:p w:rsidR="001873CB" w:rsidRPr="001873CB" w:rsidRDefault="001873CB" w:rsidP="001873CB">
      <w:pPr>
        <w:widowControl w:val="0"/>
        <w:autoSpaceDE w:val="0"/>
        <w:autoSpaceDN w:val="0"/>
        <w:adjustRightInd w:val="0"/>
        <w:spacing w:line="240" w:lineRule="auto"/>
        <w:ind w:left="480" w:hanging="480"/>
        <w:rPr>
          <w:noProof/>
          <w:szCs w:val="24"/>
        </w:rPr>
      </w:pPr>
      <w:r w:rsidRPr="001873CB">
        <w:rPr>
          <w:noProof/>
          <w:szCs w:val="24"/>
        </w:rPr>
        <w:t xml:space="preserve">Berner D. (2011) Size correction in biology: how reliable are approaches based on (common) principal component analysis? </w:t>
      </w:r>
      <w:r w:rsidRPr="001873CB">
        <w:rPr>
          <w:i/>
          <w:iCs/>
          <w:noProof/>
          <w:szCs w:val="24"/>
        </w:rPr>
        <w:t>Oecologia</w:t>
      </w:r>
      <w:r w:rsidRPr="001873CB">
        <w:rPr>
          <w:noProof/>
          <w:szCs w:val="24"/>
        </w:rPr>
        <w:t xml:space="preserve"> </w:t>
      </w:r>
      <w:r w:rsidRPr="001873CB">
        <w:rPr>
          <w:b/>
          <w:bCs/>
          <w:noProof/>
          <w:szCs w:val="24"/>
        </w:rPr>
        <w:t>166</w:t>
      </w:r>
      <w:r w:rsidRPr="001873CB">
        <w:rPr>
          <w:noProof/>
          <w:szCs w:val="24"/>
        </w:rPr>
        <w:t>, 961–971.</w:t>
      </w:r>
    </w:p>
    <w:p w:rsidR="001873CB" w:rsidRPr="001873CB" w:rsidRDefault="001873CB" w:rsidP="001873CB">
      <w:pPr>
        <w:widowControl w:val="0"/>
        <w:autoSpaceDE w:val="0"/>
        <w:autoSpaceDN w:val="0"/>
        <w:adjustRightInd w:val="0"/>
        <w:spacing w:line="240" w:lineRule="auto"/>
        <w:ind w:left="480" w:hanging="480"/>
        <w:rPr>
          <w:noProof/>
          <w:szCs w:val="24"/>
        </w:rPr>
      </w:pPr>
      <w:r w:rsidRPr="001873CB">
        <w:rPr>
          <w:noProof/>
          <w:szCs w:val="24"/>
        </w:rPr>
        <w:t xml:space="preserve">Gosner K.L. (1960) A simplified table for staging anuran embryos and larvae with notes on identification. </w:t>
      </w:r>
      <w:r w:rsidRPr="001873CB">
        <w:rPr>
          <w:i/>
          <w:iCs/>
          <w:noProof/>
          <w:szCs w:val="24"/>
        </w:rPr>
        <w:t>Herpetologica</w:t>
      </w:r>
      <w:r w:rsidRPr="001873CB">
        <w:rPr>
          <w:noProof/>
          <w:szCs w:val="24"/>
        </w:rPr>
        <w:t xml:space="preserve"> </w:t>
      </w:r>
      <w:r w:rsidRPr="001873CB">
        <w:rPr>
          <w:b/>
          <w:bCs/>
          <w:noProof/>
          <w:szCs w:val="24"/>
        </w:rPr>
        <w:t>16</w:t>
      </w:r>
      <w:r w:rsidRPr="001873CB">
        <w:rPr>
          <w:noProof/>
          <w:szCs w:val="24"/>
        </w:rPr>
        <w:t>, 183–190.</w:t>
      </w:r>
    </w:p>
    <w:p w:rsidR="001873CB" w:rsidRPr="001873CB" w:rsidRDefault="001873CB" w:rsidP="001873CB">
      <w:pPr>
        <w:widowControl w:val="0"/>
        <w:autoSpaceDE w:val="0"/>
        <w:autoSpaceDN w:val="0"/>
        <w:adjustRightInd w:val="0"/>
        <w:spacing w:line="240" w:lineRule="auto"/>
        <w:ind w:left="480" w:hanging="480"/>
        <w:rPr>
          <w:noProof/>
          <w:szCs w:val="24"/>
        </w:rPr>
      </w:pPr>
      <w:r w:rsidRPr="001873CB">
        <w:rPr>
          <w:noProof/>
          <w:szCs w:val="24"/>
        </w:rPr>
        <w:t xml:space="preserve">Kuznetsova A., Brockhoff P.B. &amp; Christensen R.H.B. (2017) lmerTest package: tests in linear mixed effects models. </w:t>
      </w:r>
      <w:r w:rsidRPr="001873CB">
        <w:rPr>
          <w:i/>
          <w:iCs/>
          <w:noProof/>
          <w:szCs w:val="24"/>
        </w:rPr>
        <w:t>Journal of Statistical Software</w:t>
      </w:r>
      <w:r w:rsidRPr="001873CB">
        <w:rPr>
          <w:noProof/>
          <w:szCs w:val="24"/>
        </w:rPr>
        <w:t xml:space="preserve"> </w:t>
      </w:r>
      <w:r w:rsidRPr="001873CB">
        <w:rPr>
          <w:b/>
          <w:bCs/>
          <w:noProof/>
          <w:szCs w:val="24"/>
        </w:rPr>
        <w:t>82</w:t>
      </w:r>
      <w:r w:rsidRPr="001873CB">
        <w:rPr>
          <w:noProof/>
          <w:szCs w:val="24"/>
        </w:rPr>
        <w:t>.</w:t>
      </w:r>
    </w:p>
    <w:p w:rsidR="001873CB" w:rsidRPr="001873CB" w:rsidRDefault="001873CB" w:rsidP="001873CB">
      <w:pPr>
        <w:widowControl w:val="0"/>
        <w:autoSpaceDE w:val="0"/>
        <w:autoSpaceDN w:val="0"/>
        <w:adjustRightInd w:val="0"/>
        <w:spacing w:line="240" w:lineRule="auto"/>
        <w:ind w:left="480" w:hanging="480"/>
        <w:rPr>
          <w:noProof/>
          <w:szCs w:val="24"/>
        </w:rPr>
      </w:pPr>
      <w:r w:rsidRPr="001873CB">
        <w:rPr>
          <w:noProof/>
          <w:szCs w:val="24"/>
        </w:rPr>
        <w:t>R Core Team (2017) R: A Language and Environment for Statistical Computing.</w:t>
      </w:r>
    </w:p>
    <w:p w:rsidR="001873CB" w:rsidRPr="001873CB" w:rsidRDefault="001873CB" w:rsidP="001873CB">
      <w:pPr>
        <w:widowControl w:val="0"/>
        <w:autoSpaceDE w:val="0"/>
        <w:autoSpaceDN w:val="0"/>
        <w:adjustRightInd w:val="0"/>
        <w:spacing w:line="240" w:lineRule="auto"/>
        <w:ind w:left="480" w:hanging="480"/>
        <w:rPr>
          <w:noProof/>
        </w:rPr>
      </w:pPr>
      <w:r w:rsidRPr="001873CB">
        <w:rPr>
          <w:noProof/>
          <w:szCs w:val="24"/>
        </w:rPr>
        <w:t xml:space="preserve">Schneider C.A., Rasband W.S. &amp; Eliceiri K.W. (2012) NIH Image to ImageJ: 25 years of image analysis. </w:t>
      </w:r>
      <w:r w:rsidRPr="001873CB">
        <w:rPr>
          <w:i/>
          <w:iCs/>
          <w:noProof/>
          <w:szCs w:val="24"/>
        </w:rPr>
        <w:t>Nature Methods</w:t>
      </w:r>
      <w:r w:rsidRPr="001873CB">
        <w:rPr>
          <w:noProof/>
          <w:szCs w:val="24"/>
        </w:rPr>
        <w:t xml:space="preserve"> </w:t>
      </w:r>
      <w:r w:rsidRPr="001873CB">
        <w:rPr>
          <w:b/>
          <w:bCs/>
          <w:noProof/>
          <w:szCs w:val="24"/>
        </w:rPr>
        <w:t>9</w:t>
      </w:r>
      <w:r w:rsidRPr="001873CB">
        <w:rPr>
          <w:noProof/>
          <w:szCs w:val="24"/>
        </w:rPr>
        <w:t>, 671–675.</w:t>
      </w:r>
    </w:p>
    <w:p w:rsidR="00E81A68" w:rsidRDefault="00E81A68" w:rsidP="001873CB">
      <w:pPr>
        <w:widowControl w:val="0"/>
        <w:autoSpaceDE w:val="0"/>
        <w:autoSpaceDN w:val="0"/>
        <w:adjustRightInd w:val="0"/>
        <w:spacing w:line="240" w:lineRule="auto"/>
        <w:ind w:left="480" w:hanging="480"/>
      </w:pPr>
    </w:p>
    <w:p w:rsidR="00685F4B" w:rsidRDefault="00685F4B" w:rsidP="00685F4B">
      <w:pPr>
        <w:widowControl w:val="0"/>
        <w:autoSpaceDE w:val="0"/>
        <w:autoSpaceDN w:val="0"/>
        <w:adjustRightInd w:val="0"/>
        <w:spacing w:line="240" w:lineRule="auto"/>
        <w:ind w:left="480" w:hanging="480"/>
      </w:pPr>
    </w:p>
    <w:p w:rsidR="00685F4B" w:rsidRDefault="00685F4B" w:rsidP="00685F4B">
      <w:pPr>
        <w:widowControl w:val="0"/>
        <w:autoSpaceDE w:val="0"/>
        <w:autoSpaceDN w:val="0"/>
        <w:adjustRightInd w:val="0"/>
        <w:spacing w:line="240" w:lineRule="auto"/>
        <w:ind w:left="480" w:hanging="480"/>
      </w:pPr>
    </w:p>
    <w:p w:rsidR="00685F4B" w:rsidRDefault="00685F4B" w:rsidP="00685F4B">
      <w:pPr>
        <w:widowControl w:val="0"/>
        <w:autoSpaceDE w:val="0"/>
        <w:autoSpaceDN w:val="0"/>
        <w:adjustRightInd w:val="0"/>
        <w:spacing w:line="240" w:lineRule="auto"/>
        <w:ind w:left="480" w:hanging="480"/>
      </w:pPr>
    </w:p>
    <w:p w:rsidR="00E81A68" w:rsidRPr="00154EAD" w:rsidRDefault="00E81A68" w:rsidP="00E81A68">
      <w:pPr>
        <w:widowControl w:val="0"/>
        <w:autoSpaceDE w:val="0"/>
        <w:autoSpaceDN w:val="0"/>
        <w:adjustRightInd w:val="0"/>
        <w:spacing w:line="240" w:lineRule="auto"/>
        <w:ind w:left="480" w:hanging="480"/>
        <w:rPr>
          <w:b/>
        </w:rPr>
      </w:pPr>
      <w:r>
        <w:rPr>
          <w:b/>
        </w:rPr>
        <w:t xml:space="preserve">Table S1: </w:t>
      </w:r>
      <w:r>
        <w:t>Analysis results</w:t>
      </w:r>
      <w:r w:rsidRPr="00F90400">
        <w:t xml:space="preserve"> on larval</w:t>
      </w:r>
      <w:r>
        <w:t xml:space="preserve"> survival and body size and tail shape. Test statistic is χ</w:t>
      </w:r>
      <w:r>
        <w:rPr>
          <w:vertAlign w:val="superscript"/>
        </w:rPr>
        <w:t>2</w:t>
      </w:r>
      <w:r>
        <w:t xml:space="preserve"> for proportion of larvae, </w:t>
      </w:r>
      <w:r>
        <w:rPr>
          <w:i/>
        </w:rPr>
        <w:t xml:space="preserve">F </w:t>
      </w:r>
      <w:r>
        <w:t xml:space="preserve">for all others. </w:t>
      </w:r>
      <w:r w:rsidRPr="00F90400">
        <w:t>Bold indicates statistical significance</w:t>
      </w:r>
    </w:p>
    <w:tbl>
      <w:tblPr>
        <w:tblW w:w="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057"/>
        <w:gridCol w:w="1015"/>
        <w:gridCol w:w="980"/>
      </w:tblGrid>
      <w:tr w:rsidR="00FA6364" w:rsidRPr="00FC0713" w:rsidTr="00FC0713">
        <w:tc>
          <w:tcPr>
            <w:tcW w:w="1967" w:type="dxa"/>
            <w:tcBorders>
              <w:top w:val="nil"/>
              <w:left w:val="nil"/>
              <w:bottom w:val="single" w:sz="4" w:space="0" w:color="auto"/>
              <w:right w:val="nil"/>
            </w:tcBorders>
            <w:shd w:val="clear" w:color="auto" w:fill="auto"/>
          </w:tcPr>
          <w:p w:rsidR="00E81A68" w:rsidRPr="00FC0713" w:rsidRDefault="00E81A68" w:rsidP="00FC0713">
            <w:pPr>
              <w:widowControl w:val="0"/>
              <w:spacing w:line="240" w:lineRule="auto"/>
              <w:rPr>
                <w:sz w:val="23"/>
                <w:szCs w:val="23"/>
              </w:rPr>
            </w:pPr>
          </w:p>
        </w:tc>
        <w:tc>
          <w:tcPr>
            <w:tcW w:w="1057" w:type="dxa"/>
            <w:tcBorders>
              <w:top w:val="nil"/>
              <w:left w:val="nil"/>
              <w:bottom w:val="single" w:sz="4" w:space="0" w:color="auto"/>
              <w:right w:val="nil"/>
            </w:tcBorders>
            <w:shd w:val="clear" w:color="auto" w:fill="auto"/>
          </w:tcPr>
          <w:p w:rsidR="00E81A68" w:rsidRPr="00FC0713" w:rsidRDefault="00E81A68" w:rsidP="00FC0713">
            <w:pPr>
              <w:widowControl w:val="0"/>
              <w:spacing w:line="240" w:lineRule="auto"/>
              <w:rPr>
                <w:sz w:val="23"/>
                <w:szCs w:val="23"/>
              </w:rPr>
            </w:pPr>
          </w:p>
        </w:tc>
        <w:tc>
          <w:tcPr>
            <w:tcW w:w="1015" w:type="dxa"/>
            <w:tcBorders>
              <w:top w:val="nil"/>
              <w:left w:val="nil"/>
              <w:bottom w:val="single" w:sz="4" w:space="0" w:color="auto"/>
              <w:right w:val="nil"/>
            </w:tcBorders>
            <w:shd w:val="clear" w:color="auto" w:fill="auto"/>
          </w:tcPr>
          <w:p w:rsidR="00E81A68" w:rsidRPr="00FC0713" w:rsidRDefault="00E81A68" w:rsidP="00FC0713">
            <w:pPr>
              <w:widowControl w:val="0"/>
              <w:spacing w:line="240" w:lineRule="auto"/>
              <w:rPr>
                <w:sz w:val="23"/>
                <w:szCs w:val="23"/>
              </w:rPr>
            </w:pPr>
          </w:p>
        </w:tc>
        <w:tc>
          <w:tcPr>
            <w:tcW w:w="980" w:type="dxa"/>
            <w:tcBorders>
              <w:top w:val="nil"/>
              <w:left w:val="nil"/>
              <w:bottom w:val="single" w:sz="4" w:space="0" w:color="auto"/>
              <w:right w:val="nil"/>
            </w:tcBorders>
            <w:shd w:val="clear" w:color="auto" w:fill="auto"/>
          </w:tcPr>
          <w:p w:rsidR="00E81A68" w:rsidRPr="00FC0713" w:rsidRDefault="00E81A68" w:rsidP="00FC0713">
            <w:pPr>
              <w:widowControl w:val="0"/>
              <w:spacing w:line="240" w:lineRule="auto"/>
              <w:rPr>
                <w:sz w:val="23"/>
                <w:szCs w:val="23"/>
              </w:rPr>
            </w:pPr>
          </w:p>
        </w:tc>
      </w:tr>
      <w:tr w:rsidR="00FA6364" w:rsidRPr="00FC0713" w:rsidTr="00FC0713">
        <w:tc>
          <w:tcPr>
            <w:tcW w:w="1967" w:type="dxa"/>
            <w:tcBorders>
              <w:top w:val="single" w:sz="4" w:space="0" w:color="auto"/>
              <w:left w:val="nil"/>
              <w:bottom w:val="nil"/>
              <w:right w:val="nil"/>
            </w:tcBorders>
            <w:shd w:val="clear" w:color="auto" w:fill="auto"/>
          </w:tcPr>
          <w:p w:rsidR="00E81A68" w:rsidRPr="00FC0713" w:rsidRDefault="00E81A68" w:rsidP="00FC0713">
            <w:pPr>
              <w:widowControl w:val="0"/>
              <w:spacing w:line="240" w:lineRule="auto"/>
              <w:rPr>
                <w:sz w:val="23"/>
                <w:szCs w:val="23"/>
              </w:rPr>
            </w:pPr>
          </w:p>
        </w:tc>
        <w:tc>
          <w:tcPr>
            <w:tcW w:w="1057" w:type="dxa"/>
            <w:tcBorders>
              <w:top w:val="single" w:sz="4" w:space="0" w:color="auto"/>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df</w:t>
            </w:r>
          </w:p>
        </w:tc>
        <w:tc>
          <w:tcPr>
            <w:tcW w:w="1015" w:type="dxa"/>
            <w:tcBorders>
              <w:top w:val="single" w:sz="4" w:space="0" w:color="auto"/>
              <w:left w:val="nil"/>
              <w:bottom w:val="nil"/>
              <w:right w:val="nil"/>
            </w:tcBorders>
            <w:shd w:val="clear" w:color="auto" w:fill="auto"/>
          </w:tcPr>
          <w:p w:rsidR="00E81A68" w:rsidRPr="00FC0713" w:rsidRDefault="00E81A68" w:rsidP="00FC0713">
            <w:pPr>
              <w:widowControl w:val="0"/>
              <w:spacing w:line="240" w:lineRule="auto"/>
              <w:rPr>
                <w:i/>
                <w:sz w:val="23"/>
                <w:szCs w:val="23"/>
              </w:rPr>
            </w:pPr>
            <w:r w:rsidRPr="00FC0713">
              <w:rPr>
                <w:szCs w:val="24"/>
              </w:rPr>
              <w:t>χ</w:t>
            </w:r>
            <w:r w:rsidRPr="00FC0713">
              <w:rPr>
                <w:szCs w:val="24"/>
                <w:vertAlign w:val="superscript"/>
              </w:rPr>
              <w:t xml:space="preserve">2 </w:t>
            </w:r>
            <w:r w:rsidRPr="00FC0713">
              <w:rPr>
                <w:szCs w:val="24"/>
              </w:rPr>
              <w:t xml:space="preserve">or </w:t>
            </w:r>
            <w:r w:rsidRPr="00FC0713">
              <w:rPr>
                <w:i/>
                <w:szCs w:val="24"/>
              </w:rPr>
              <w:t>F</w:t>
            </w:r>
          </w:p>
        </w:tc>
        <w:tc>
          <w:tcPr>
            <w:tcW w:w="980" w:type="dxa"/>
            <w:tcBorders>
              <w:top w:val="single" w:sz="4" w:space="0" w:color="auto"/>
              <w:left w:val="nil"/>
              <w:bottom w:val="nil"/>
              <w:right w:val="nil"/>
            </w:tcBorders>
            <w:shd w:val="clear" w:color="auto" w:fill="auto"/>
          </w:tcPr>
          <w:p w:rsidR="00E81A68" w:rsidRPr="00FC0713" w:rsidRDefault="00E81A68" w:rsidP="00FC0713">
            <w:pPr>
              <w:widowControl w:val="0"/>
              <w:spacing w:line="240" w:lineRule="auto"/>
              <w:rPr>
                <w:i/>
                <w:sz w:val="23"/>
                <w:szCs w:val="23"/>
              </w:rPr>
            </w:pPr>
            <w:r w:rsidRPr="00FC0713">
              <w:rPr>
                <w:i/>
                <w:sz w:val="23"/>
                <w:szCs w:val="23"/>
              </w:rPr>
              <w:t>P</w:t>
            </w:r>
          </w:p>
        </w:tc>
      </w:tr>
      <w:tr w:rsidR="00FA6364" w:rsidRPr="00FC0713" w:rsidTr="00FC0713">
        <w:tc>
          <w:tcPr>
            <w:tcW w:w="196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Proportion larvae</w:t>
            </w:r>
          </w:p>
        </w:tc>
        <w:tc>
          <w:tcPr>
            <w:tcW w:w="105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p>
        </w:tc>
        <w:tc>
          <w:tcPr>
            <w:tcW w:w="1015"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p>
        </w:tc>
        <w:tc>
          <w:tcPr>
            <w:tcW w:w="980"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p>
        </w:tc>
      </w:tr>
      <w:tr w:rsidR="00FA6364" w:rsidRPr="00FC0713" w:rsidTr="00FC0713">
        <w:tc>
          <w:tcPr>
            <w:tcW w:w="196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 xml:space="preserve">     Survival</w:t>
            </w:r>
          </w:p>
        </w:tc>
        <w:tc>
          <w:tcPr>
            <w:tcW w:w="105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1</w:t>
            </w:r>
          </w:p>
        </w:tc>
        <w:tc>
          <w:tcPr>
            <w:tcW w:w="1015"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5.62</w:t>
            </w:r>
          </w:p>
        </w:tc>
        <w:tc>
          <w:tcPr>
            <w:tcW w:w="980" w:type="dxa"/>
            <w:tcBorders>
              <w:top w:val="nil"/>
              <w:left w:val="nil"/>
              <w:bottom w:val="nil"/>
              <w:right w:val="nil"/>
            </w:tcBorders>
            <w:shd w:val="clear" w:color="auto" w:fill="auto"/>
          </w:tcPr>
          <w:p w:rsidR="00E81A68" w:rsidRPr="00FC0713" w:rsidRDefault="00E81A68" w:rsidP="00FC0713">
            <w:pPr>
              <w:widowControl w:val="0"/>
              <w:spacing w:line="240" w:lineRule="auto"/>
              <w:rPr>
                <w:b/>
                <w:sz w:val="23"/>
                <w:szCs w:val="23"/>
              </w:rPr>
            </w:pPr>
            <w:r w:rsidRPr="00FC0713">
              <w:rPr>
                <w:b/>
                <w:sz w:val="23"/>
                <w:szCs w:val="23"/>
              </w:rPr>
              <w:t>0.0177</w:t>
            </w:r>
          </w:p>
        </w:tc>
      </w:tr>
      <w:tr w:rsidR="00FA6364" w:rsidRPr="00FC0713" w:rsidTr="00FC0713">
        <w:tc>
          <w:tcPr>
            <w:tcW w:w="196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 xml:space="preserve">     Treatment</w:t>
            </w:r>
          </w:p>
        </w:tc>
        <w:tc>
          <w:tcPr>
            <w:tcW w:w="105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4</w:t>
            </w:r>
          </w:p>
        </w:tc>
        <w:tc>
          <w:tcPr>
            <w:tcW w:w="1015"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16.42</w:t>
            </w:r>
          </w:p>
        </w:tc>
        <w:tc>
          <w:tcPr>
            <w:tcW w:w="980" w:type="dxa"/>
            <w:tcBorders>
              <w:top w:val="nil"/>
              <w:left w:val="nil"/>
              <w:bottom w:val="nil"/>
              <w:right w:val="nil"/>
            </w:tcBorders>
            <w:shd w:val="clear" w:color="auto" w:fill="auto"/>
          </w:tcPr>
          <w:p w:rsidR="00E81A68" w:rsidRPr="00FC0713" w:rsidRDefault="00E81A68" w:rsidP="00FC0713">
            <w:pPr>
              <w:widowControl w:val="0"/>
              <w:spacing w:line="240" w:lineRule="auto"/>
              <w:rPr>
                <w:b/>
                <w:sz w:val="23"/>
                <w:szCs w:val="23"/>
              </w:rPr>
            </w:pPr>
            <w:r w:rsidRPr="00FC0713">
              <w:rPr>
                <w:b/>
                <w:sz w:val="23"/>
                <w:szCs w:val="23"/>
              </w:rPr>
              <w:t>0.0025</w:t>
            </w:r>
          </w:p>
        </w:tc>
      </w:tr>
      <w:tr w:rsidR="00FA6364" w:rsidRPr="00FC0713" w:rsidTr="00FC0713">
        <w:tc>
          <w:tcPr>
            <w:tcW w:w="196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Body condition</w:t>
            </w:r>
          </w:p>
        </w:tc>
        <w:tc>
          <w:tcPr>
            <w:tcW w:w="105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p>
        </w:tc>
        <w:tc>
          <w:tcPr>
            <w:tcW w:w="1015"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p>
        </w:tc>
        <w:tc>
          <w:tcPr>
            <w:tcW w:w="980"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p>
        </w:tc>
      </w:tr>
      <w:tr w:rsidR="00FA6364" w:rsidRPr="00FC0713" w:rsidTr="00FC0713">
        <w:tc>
          <w:tcPr>
            <w:tcW w:w="196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 xml:space="preserve">     Survival</w:t>
            </w:r>
          </w:p>
        </w:tc>
        <w:tc>
          <w:tcPr>
            <w:tcW w:w="105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1</w:t>
            </w:r>
          </w:p>
        </w:tc>
        <w:tc>
          <w:tcPr>
            <w:tcW w:w="1015"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20.00</w:t>
            </w:r>
          </w:p>
        </w:tc>
        <w:tc>
          <w:tcPr>
            <w:tcW w:w="980" w:type="dxa"/>
            <w:tcBorders>
              <w:top w:val="nil"/>
              <w:left w:val="nil"/>
              <w:bottom w:val="nil"/>
              <w:right w:val="nil"/>
            </w:tcBorders>
            <w:shd w:val="clear" w:color="auto" w:fill="auto"/>
          </w:tcPr>
          <w:p w:rsidR="00E81A68" w:rsidRPr="00FC0713" w:rsidRDefault="00E81A68" w:rsidP="00FC0713">
            <w:pPr>
              <w:widowControl w:val="0"/>
              <w:spacing w:line="240" w:lineRule="auto"/>
              <w:rPr>
                <w:b/>
                <w:sz w:val="23"/>
                <w:szCs w:val="23"/>
              </w:rPr>
            </w:pPr>
            <w:r w:rsidRPr="00FC0713">
              <w:rPr>
                <w:b/>
                <w:sz w:val="23"/>
                <w:szCs w:val="23"/>
              </w:rPr>
              <w:t>&lt;0.0001</w:t>
            </w:r>
          </w:p>
        </w:tc>
      </w:tr>
      <w:tr w:rsidR="00FA6364" w:rsidRPr="00FC0713" w:rsidTr="00FC0713">
        <w:tc>
          <w:tcPr>
            <w:tcW w:w="196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 xml:space="preserve">     Stage</w:t>
            </w:r>
          </w:p>
        </w:tc>
        <w:tc>
          <w:tcPr>
            <w:tcW w:w="105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1</w:t>
            </w:r>
          </w:p>
        </w:tc>
        <w:tc>
          <w:tcPr>
            <w:tcW w:w="1015"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37.46</w:t>
            </w:r>
          </w:p>
        </w:tc>
        <w:tc>
          <w:tcPr>
            <w:tcW w:w="980" w:type="dxa"/>
            <w:tcBorders>
              <w:top w:val="nil"/>
              <w:left w:val="nil"/>
              <w:bottom w:val="nil"/>
              <w:right w:val="nil"/>
            </w:tcBorders>
            <w:shd w:val="clear" w:color="auto" w:fill="auto"/>
          </w:tcPr>
          <w:p w:rsidR="00E81A68" w:rsidRPr="00FC0713" w:rsidRDefault="00E81A68" w:rsidP="00FC0713">
            <w:pPr>
              <w:widowControl w:val="0"/>
              <w:spacing w:line="240" w:lineRule="auto"/>
              <w:rPr>
                <w:b/>
                <w:sz w:val="23"/>
                <w:szCs w:val="23"/>
              </w:rPr>
            </w:pPr>
            <w:r w:rsidRPr="00FC0713">
              <w:rPr>
                <w:b/>
                <w:sz w:val="23"/>
                <w:szCs w:val="23"/>
              </w:rPr>
              <w:t>&lt;0.0001</w:t>
            </w:r>
          </w:p>
        </w:tc>
      </w:tr>
      <w:tr w:rsidR="00FA6364" w:rsidRPr="00FC0713" w:rsidTr="00FC0713">
        <w:tc>
          <w:tcPr>
            <w:tcW w:w="196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 xml:space="preserve">     Treatment</w:t>
            </w:r>
          </w:p>
        </w:tc>
        <w:tc>
          <w:tcPr>
            <w:tcW w:w="105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4</w:t>
            </w:r>
          </w:p>
        </w:tc>
        <w:tc>
          <w:tcPr>
            <w:tcW w:w="1015"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5.92</w:t>
            </w:r>
          </w:p>
        </w:tc>
        <w:tc>
          <w:tcPr>
            <w:tcW w:w="980" w:type="dxa"/>
            <w:tcBorders>
              <w:top w:val="nil"/>
              <w:left w:val="nil"/>
              <w:bottom w:val="nil"/>
              <w:right w:val="nil"/>
            </w:tcBorders>
            <w:shd w:val="clear" w:color="auto" w:fill="auto"/>
          </w:tcPr>
          <w:p w:rsidR="00E81A68" w:rsidRPr="00FC0713" w:rsidRDefault="00E81A68" w:rsidP="00FC0713">
            <w:pPr>
              <w:widowControl w:val="0"/>
              <w:spacing w:line="240" w:lineRule="auto"/>
              <w:rPr>
                <w:b/>
                <w:sz w:val="23"/>
                <w:szCs w:val="23"/>
              </w:rPr>
            </w:pPr>
            <w:r w:rsidRPr="00FC0713">
              <w:rPr>
                <w:b/>
                <w:sz w:val="23"/>
                <w:szCs w:val="23"/>
              </w:rPr>
              <w:t>0.0013</w:t>
            </w:r>
          </w:p>
        </w:tc>
      </w:tr>
      <w:tr w:rsidR="00FA6364" w:rsidRPr="00FC0713" w:rsidTr="00FC0713">
        <w:tc>
          <w:tcPr>
            <w:tcW w:w="196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Mass</w:t>
            </w:r>
          </w:p>
        </w:tc>
        <w:tc>
          <w:tcPr>
            <w:tcW w:w="105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p>
        </w:tc>
        <w:tc>
          <w:tcPr>
            <w:tcW w:w="1015"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p>
        </w:tc>
        <w:tc>
          <w:tcPr>
            <w:tcW w:w="980" w:type="dxa"/>
            <w:tcBorders>
              <w:top w:val="nil"/>
              <w:left w:val="nil"/>
              <w:bottom w:val="nil"/>
              <w:right w:val="nil"/>
            </w:tcBorders>
            <w:shd w:val="clear" w:color="auto" w:fill="auto"/>
          </w:tcPr>
          <w:p w:rsidR="00E81A68" w:rsidRPr="00FC0713" w:rsidRDefault="00E81A68" w:rsidP="00FC0713">
            <w:pPr>
              <w:widowControl w:val="0"/>
              <w:spacing w:line="240" w:lineRule="auto"/>
              <w:rPr>
                <w:b/>
                <w:sz w:val="23"/>
                <w:szCs w:val="23"/>
              </w:rPr>
            </w:pPr>
          </w:p>
        </w:tc>
      </w:tr>
      <w:tr w:rsidR="00FA6364" w:rsidRPr="00FC0713" w:rsidTr="00FC0713">
        <w:tc>
          <w:tcPr>
            <w:tcW w:w="196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 xml:space="preserve">     Survival</w:t>
            </w:r>
          </w:p>
        </w:tc>
        <w:tc>
          <w:tcPr>
            <w:tcW w:w="105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1</w:t>
            </w:r>
          </w:p>
        </w:tc>
        <w:tc>
          <w:tcPr>
            <w:tcW w:w="1015"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11.31</w:t>
            </w:r>
          </w:p>
        </w:tc>
        <w:tc>
          <w:tcPr>
            <w:tcW w:w="980" w:type="dxa"/>
            <w:tcBorders>
              <w:top w:val="nil"/>
              <w:left w:val="nil"/>
              <w:bottom w:val="nil"/>
              <w:right w:val="nil"/>
            </w:tcBorders>
            <w:shd w:val="clear" w:color="auto" w:fill="auto"/>
          </w:tcPr>
          <w:p w:rsidR="00E81A68" w:rsidRPr="00FC0713" w:rsidRDefault="00E81A68" w:rsidP="00FC0713">
            <w:pPr>
              <w:widowControl w:val="0"/>
              <w:spacing w:line="240" w:lineRule="auto"/>
              <w:rPr>
                <w:b/>
                <w:sz w:val="23"/>
                <w:szCs w:val="23"/>
              </w:rPr>
            </w:pPr>
            <w:r w:rsidRPr="00FC0713">
              <w:rPr>
                <w:b/>
                <w:sz w:val="23"/>
                <w:szCs w:val="23"/>
              </w:rPr>
              <w:t>0.0018</w:t>
            </w:r>
          </w:p>
        </w:tc>
      </w:tr>
      <w:tr w:rsidR="00FA6364" w:rsidRPr="00FC0713" w:rsidTr="00FC0713">
        <w:tc>
          <w:tcPr>
            <w:tcW w:w="196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 xml:space="preserve">     Stage</w:t>
            </w:r>
          </w:p>
        </w:tc>
        <w:tc>
          <w:tcPr>
            <w:tcW w:w="105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1</w:t>
            </w:r>
          </w:p>
        </w:tc>
        <w:tc>
          <w:tcPr>
            <w:tcW w:w="1015"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31.54</w:t>
            </w:r>
          </w:p>
        </w:tc>
        <w:tc>
          <w:tcPr>
            <w:tcW w:w="980" w:type="dxa"/>
            <w:tcBorders>
              <w:top w:val="nil"/>
              <w:left w:val="nil"/>
              <w:bottom w:val="nil"/>
              <w:right w:val="nil"/>
            </w:tcBorders>
            <w:shd w:val="clear" w:color="auto" w:fill="auto"/>
          </w:tcPr>
          <w:p w:rsidR="00E81A68" w:rsidRPr="00FC0713" w:rsidRDefault="00E81A68" w:rsidP="00FC0713">
            <w:pPr>
              <w:widowControl w:val="0"/>
              <w:spacing w:line="240" w:lineRule="auto"/>
              <w:rPr>
                <w:b/>
                <w:sz w:val="23"/>
                <w:szCs w:val="23"/>
              </w:rPr>
            </w:pPr>
            <w:r w:rsidRPr="00FC0713">
              <w:rPr>
                <w:b/>
                <w:sz w:val="23"/>
                <w:szCs w:val="23"/>
              </w:rPr>
              <w:t>&lt;0.0001</w:t>
            </w:r>
          </w:p>
        </w:tc>
      </w:tr>
      <w:tr w:rsidR="00FA6364" w:rsidRPr="00FC0713" w:rsidTr="00FC0713">
        <w:tc>
          <w:tcPr>
            <w:tcW w:w="196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 xml:space="preserve">     Treatment</w:t>
            </w:r>
          </w:p>
        </w:tc>
        <w:tc>
          <w:tcPr>
            <w:tcW w:w="105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4</w:t>
            </w:r>
          </w:p>
        </w:tc>
        <w:tc>
          <w:tcPr>
            <w:tcW w:w="1015"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5.10</w:t>
            </w:r>
          </w:p>
        </w:tc>
        <w:tc>
          <w:tcPr>
            <w:tcW w:w="980" w:type="dxa"/>
            <w:tcBorders>
              <w:top w:val="nil"/>
              <w:left w:val="nil"/>
              <w:bottom w:val="nil"/>
              <w:right w:val="nil"/>
            </w:tcBorders>
            <w:shd w:val="clear" w:color="auto" w:fill="auto"/>
          </w:tcPr>
          <w:p w:rsidR="00E81A68" w:rsidRPr="00FC0713" w:rsidRDefault="00E81A68" w:rsidP="00FC0713">
            <w:pPr>
              <w:widowControl w:val="0"/>
              <w:spacing w:line="240" w:lineRule="auto"/>
              <w:rPr>
                <w:b/>
                <w:sz w:val="23"/>
                <w:szCs w:val="23"/>
              </w:rPr>
            </w:pPr>
            <w:r w:rsidRPr="00FC0713">
              <w:rPr>
                <w:b/>
                <w:sz w:val="23"/>
                <w:szCs w:val="23"/>
              </w:rPr>
              <w:t>0.0029</w:t>
            </w:r>
          </w:p>
        </w:tc>
      </w:tr>
      <w:tr w:rsidR="00FA6364" w:rsidRPr="00FC0713" w:rsidTr="00FC0713">
        <w:tc>
          <w:tcPr>
            <w:tcW w:w="196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Total length</w:t>
            </w:r>
          </w:p>
        </w:tc>
        <w:tc>
          <w:tcPr>
            <w:tcW w:w="105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p>
        </w:tc>
        <w:tc>
          <w:tcPr>
            <w:tcW w:w="1015"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p>
        </w:tc>
        <w:tc>
          <w:tcPr>
            <w:tcW w:w="980" w:type="dxa"/>
            <w:tcBorders>
              <w:top w:val="nil"/>
              <w:left w:val="nil"/>
              <w:bottom w:val="nil"/>
              <w:right w:val="nil"/>
            </w:tcBorders>
            <w:shd w:val="clear" w:color="auto" w:fill="auto"/>
          </w:tcPr>
          <w:p w:rsidR="00E81A68" w:rsidRPr="00FC0713" w:rsidRDefault="00E81A68" w:rsidP="00FC0713">
            <w:pPr>
              <w:widowControl w:val="0"/>
              <w:spacing w:line="240" w:lineRule="auto"/>
              <w:rPr>
                <w:b/>
                <w:sz w:val="23"/>
                <w:szCs w:val="23"/>
              </w:rPr>
            </w:pPr>
          </w:p>
        </w:tc>
      </w:tr>
      <w:tr w:rsidR="00FA6364" w:rsidRPr="00FC0713" w:rsidTr="00FC0713">
        <w:tc>
          <w:tcPr>
            <w:tcW w:w="196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 xml:space="preserve">     Survival</w:t>
            </w:r>
          </w:p>
        </w:tc>
        <w:tc>
          <w:tcPr>
            <w:tcW w:w="105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1</w:t>
            </w:r>
          </w:p>
        </w:tc>
        <w:tc>
          <w:tcPr>
            <w:tcW w:w="1015" w:type="dxa"/>
            <w:tcBorders>
              <w:top w:val="nil"/>
              <w:left w:val="nil"/>
              <w:bottom w:val="nil"/>
              <w:right w:val="nil"/>
            </w:tcBorders>
            <w:shd w:val="clear" w:color="auto" w:fill="auto"/>
          </w:tcPr>
          <w:p w:rsidR="00E81A68" w:rsidRPr="00FC0713" w:rsidRDefault="00BB20D1" w:rsidP="00FC0713">
            <w:pPr>
              <w:widowControl w:val="0"/>
              <w:spacing w:line="240" w:lineRule="auto"/>
              <w:rPr>
                <w:sz w:val="23"/>
                <w:szCs w:val="23"/>
              </w:rPr>
            </w:pPr>
            <w:r w:rsidRPr="00FC0713">
              <w:rPr>
                <w:sz w:val="23"/>
                <w:szCs w:val="23"/>
              </w:rPr>
              <w:t>0.13</w:t>
            </w:r>
          </w:p>
        </w:tc>
        <w:tc>
          <w:tcPr>
            <w:tcW w:w="980" w:type="dxa"/>
            <w:tcBorders>
              <w:top w:val="nil"/>
              <w:left w:val="nil"/>
              <w:bottom w:val="nil"/>
              <w:right w:val="nil"/>
            </w:tcBorders>
            <w:shd w:val="clear" w:color="auto" w:fill="auto"/>
          </w:tcPr>
          <w:p w:rsidR="00E81A68" w:rsidRPr="00FC0713" w:rsidRDefault="00BB20D1" w:rsidP="00FC0713">
            <w:pPr>
              <w:widowControl w:val="0"/>
              <w:spacing w:line="240" w:lineRule="auto"/>
              <w:rPr>
                <w:sz w:val="23"/>
                <w:szCs w:val="23"/>
              </w:rPr>
            </w:pPr>
            <w:r w:rsidRPr="00FC0713">
              <w:rPr>
                <w:sz w:val="23"/>
                <w:szCs w:val="23"/>
              </w:rPr>
              <w:t>0.7223</w:t>
            </w:r>
          </w:p>
        </w:tc>
      </w:tr>
      <w:tr w:rsidR="00FA6364" w:rsidRPr="00FC0713" w:rsidTr="00FC0713">
        <w:tc>
          <w:tcPr>
            <w:tcW w:w="196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 xml:space="preserve">     Stage</w:t>
            </w:r>
          </w:p>
        </w:tc>
        <w:tc>
          <w:tcPr>
            <w:tcW w:w="105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1</w:t>
            </w:r>
          </w:p>
        </w:tc>
        <w:tc>
          <w:tcPr>
            <w:tcW w:w="1015" w:type="dxa"/>
            <w:tcBorders>
              <w:top w:val="nil"/>
              <w:left w:val="nil"/>
              <w:bottom w:val="nil"/>
              <w:right w:val="nil"/>
            </w:tcBorders>
            <w:shd w:val="clear" w:color="auto" w:fill="auto"/>
          </w:tcPr>
          <w:p w:rsidR="00E81A68" w:rsidRPr="00FC0713" w:rsidRDefault="00BB20D1" w:rsidP="00FC0713">
            <w:pPr>
              <w:widowControl w:val="0"/>
              <w:spacing w:line="240" w:lineRule="auto"/>
              <w:rPr>
                <w:sz w:val="23"/>
                <w:szCs w:val="23"/>
              </w:rPr>
            </w:pPr>
            <w:r w:rsidRPr="00FC0713">
              <w:rPr>
                <w:sz w:val="23"/>
                <w:szCs w:val="23"/>
              </w:rPr>
              <w:t>2.71</w:t>
            </w:r>
          </w:p>
        </w:tc>
        <w:tc>
          <w:tcPr>
            <w:tcW w:w="980" w:type="dxa"/>
            <w:tcBorders>
              <w:top w:val="nil"/>
              <w:left w:val="nil"/>
              <w:bottom w:val="nil"/>
              <w:right w:val="nil"/>
            </w:tcBorders>
            <w:shd w:val="clear" w:color="auto" w:fill="auto"/>
          </w:tcPr>
          <w:p w:rsidR="00E81A68" w:rsidRPr="00FC0713" w:rsidRDefault="00BB20D1" w:rsidP="00FC0713">
            <w:pPr>
              <w:widowControl w:val="0"/>
              <w:spacing w:line="240" w:lineRule="auto"/>
              <w:rPr>
                <w:sz w:val="23"/>
                <w:szCs w:val="23"/>
              </w:rPr>
            </w:pPr>
            <w:r w:rsidRPr="00FC0713">
              <w:rPr>
                <w:sz w:val="23"/>
                <w:szCs w:val="23"/>
              </w:rPr>
              <w:t>0.1107</w:t>
            </w:r>
          </w:p>
        </w:tc>
      </w:tr>
      <w:tr w:rsidR="00FA6364" w:rsidRPr="00FC0713" w:rsidTr="00FC0713">
        <w:tc>
          <w:tcPr>
            <w:tcW w:w="196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 xml:space="preserve">     Treatment</w:t>
            </w:r>
          </w:p>
        </w:tc>
        <w:tc>
          <w:tcPr>
            <w:tcW w:w="105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4</w:t>
            </w:r>
          </w:p>
        </w:tc>
        <w:tc>
          <w:tcPr>
            <w:tcW w:w="1015" w:type="dxa"/>
            <w:tcBorders>
              <w:top w:val="nil"/>
              <w:left w:val="nil"/>
              <w:bottom w:val="nil"/>
              <w:right w:val="nil"/>
            </w:tcBorders>
            <w:shd w:val="clear" w:color="auto" w:fill="auto"/>
          </w:tcPr>
          <w:p w:rsidR="00E81A68" w:rsidRPr="00FC0713" w:rsidRDefault="00BB20D1" w:rsidP="00FC0713">
            <w:pPr>
              <w:widowControl w:val="0"/>
              <w:spacing w:line="240" w:lineRule="auto"/>
              <w:rPr>
                <w:sz w:val="23"/>
                <w:szCs w:val="23"/>
              </w:rPr>
            </w:pPr>
            <w:r w:rsidRPr="00FC0713">
              <w:rPr>
                <w:sz w:val="23"/>
                <w:szCs w:val="23"/>
              </w:rPr>
              <w:t>1.38</w:t>
            </w:r>
          </w:p>
        </w:tc>
        <w:tc>
          <w:tcPr>
            <w:tcW w:w="980" w:type="dxa"/>
            <w:tcBorders>
              <w:top w:val="nil"/>
              <w:left w:val="nil"/>
              <w:bottom w:val="nil"/>
              <w:right w:val="nil"/>
            </w:tcBorders>
            <w:shd w:val="clear" w:color="auto" w:fill="auto"/>
          </w:tcPr>
          <w:p w:rsidR="00E81A68" w:rsidRPr="00FC0713" w:rsidRDefault="00BB20D1" w:rsidP="00FC0713">
            <w:pPr>
              <w:widowControl w:val="0"/>
              <w:spacing w:line="240" w:lineRule="auto"/>
              <w:rPr>
                <w:sz w:val="23"/>
                <w:szCs w:val="23"/>
              </w:rPr>
            </w:pPr>
            <w:r w:rsidRPr="00FC0713">
              <w:rPr>
                <w:sz w:val="23"/>
                <w:szCs w:val="23"/>
              </w:rPr>
              <w:t>0.2684</w:t>
            </w:r>
          </w:p>
        </w:tc>
      </w:tr>
      <w:tr w:rsidR="00FA6364" w:rsidRPr="00FC0713" w:rsidTr="00FC0713">
        <w:tc>
          <w:tcPr>
            <w:tcW w:w="196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Stage</w:t>
            </w:r>
          </w:p>
        </w:tc>
        <w:tc>
          <w:tcPr>
            <w:tcW w:w="105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p>
        </w:tc>
        <w:tc>
          <w:tcPr>
            <w:tcW w:w="1015"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p>
        </w:tc>
        <w:tc>
          <w:tcPr>
            <w:tcW w:w="980"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p>
        </w:tc>
      </w:tr>
      <w:tr w:rsidR="00FA6364" w:rsidRPr="00FC0713" w:rsidTr="00FC0713">
        <w:tc>
          <w:tcPr>
            <w:tcW w:w="196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 xml:space="preserve">     Survival</w:t>
            </w:r>
          </w:p>
        </w:tc>
        <w:tc>
          <w:tcPr>
            <w:tcW w:w="1057"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1</w:t>
            </w:r>
          </w:p>
        </w:tc>
        <w:tc>
          <w:tcPr>
            <w:tcW w:w="1015"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2.07</w:t>
            </w:r>
          </w:p>
        </w:tc>
        <w:tc>
          <w:tcPr>
            <w:tcW w:w="980" w:type="dxa"/>
            <w:tcBorders>
              <w:top w:val="nil"/>
              <w:left w:val="nil"/>
              <w:bottom w:val="nil"/>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0.1592</w:t>
            </w:r>
          </w:p>
        </w:tc>
      </w:tr>
      <w:tr w:rsidR="00FA6364" w:rsidRPr="00FC0713" w:rsidTr="00FC0713">
        <w:tc>
          <w:tcPr>
            <w:tcW w:w="1967" w:type="dxa"/>
            <w:tcBorders>
              <w:top w:val="nil"/>
              <w:left w:val="nil"/>
              <w:bottom w:val="single" w:sz="4" w:space="0" w:color="auto"/>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 xml:space="preserve">     Treatment</w:t>
            </w:r>
          </w:p>
        </w:tc>
        <w:tc>
          <w:tcPr>
            <w:tcW w:w="1057" w:type="dxa"/>
            <w:tcBorders>
              <w:top w:val="nil"/>
              <w:left w:val="nil"/>
              <w:bottom w:val="single" w:sz="4" w:space="0" w:color="auto"/>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4</w:t>
            </w:r>
          </w:p>
        </w:tc>
        <w:tc>
          <w:tcPr>
            <w:tcW w:w="1015" w:type="dxa"/>
            <w:tcBorders>
              <w:top w:val="nil"/>
              <w:left w:val="nil"/>
              <w:bottom w:val="single" w:sz="4" w:space="0" w:color="auto"/>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0.9480</w:t>
            </w:r>
          </w:p>
        </w:tc>
        <w:tc>
          <w:tcPr>
            <w:tcW w:w="980" w:type="dxa"/>
            <w:tcBorders>
              <w:top w:val="nil"/>
              <w:left w:val="nil"/>
              <w:bottom w:val="single" w:sz="4" w:space="0" w:color="auto"/>
              <w:right w:val="nil"/>
            </w:tcBorders>
            <w:shd w:val="clear" w:color="auto" w:fill="auto"/>
          </w:tcPr>
          <w:p w:rsidR="00E81A68" w:rsidRPr="00FC0713" w:rsidRDefault="00E81A68" w:rsidP="00FC0713">
            <w:pPr>
              <w:widowControl w:val="0"/>
              <w:spacing w:line="240" w:lineRule="auto"/>
              <w:rPr>
                <w:sz w:val="23"/>
                <w:szCs w:val="23"/>
              </w:rPr>
            </w:pPr>
            <w:r w:rsidRPr="00FC0713">
              <w:rPr>
                <w:sz w:val="23"/>
                <w:szCs w:val="23"/>
              </w:rPr>
              <w:t>0.4516</w:t>
            </w:r>
          </w:p>
        </w:tc>
      </w:tr>
    </w:tbl>
    <w:p w:rsidR="00E81A68" w:rsidRDefault="00E81A68"/>
    <w:p w:rsidR="00E81A68" w:rsidRDefault="00E81A68">
      <w:r>
        <w:br w:type="page"/>
      </w:r>
    </w:p>
    <w:p w:rsidR="00BF122F" w:rsidRDefault="00E81A68">
      <w:r>
        <w:rPr>
          <w:b/>
        </w:rPr>
        <w:t xml:space="preserve">Figure S1: </w:t>
      </w:r>
      <w:r w:rsidRPr="005F5238">
        <w:t xml:space="preserve">Average (a) larval survival to the end of the experiment and (b) body condition, (c) mass, (d) total length, and (e) Gosner stage per mesocosm of sampled larvae (means ± SE). Treatments are arranged the same as Fig. 2, and covariates are significant components of displayed results (see Table </w:t>
      </w:r>
      <w:r>
        <w:t>S</w:t>
      </w:r>
      <w:r w:rsidRPr="005F5238">
        <w:t>1). NS indicates no significant differences.</w:t>
      </w:r>
    </w:p>
    <w:p w:rsidR="00E81A68" w:rsidRPr="00E81A68" w:rsidRDefault="00873671">
      <w:r>
        <w:rPr>
          <w:noProof/>
        </w:rPr>
        <w:drawing>
          <wp:inline distT="0" distB="0" distL="0" distR="0">
            <wp:extent cx="5743575" cy="7191375"/>
            <wp:effectExtent l="0" t="0" r="9525" b="9525"/>
            <wp:docPr id="3" name="Picture 2" descr="D:\Google Drive\Manuscripts\In prep\Gratiosa flooding\Figures\Oikos\HG Fig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oogle Drive\Manuscripts\In prep\Gratiosa flooding\Figures\Oikos\HG Fig 3.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7191375"/>
                    </a:xfrm>
                    <a:prstGeom prst="rect">
                      <a:avLst/>
                    </a:prstGeom>
                    <a:noFill/>
                    <a:ln>
                      <a:noFill/>
                    </a:ln>
                  </pic:spPr>
                </pic:pic>
              </a:graphicData>
            </a:graphic>
          </wp:inline>
        </w:drawing>
      </w:r>
    </w:p>
    <w:sectPr w:rsidR="00E81A68" w:rsidRPr="00E81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2F"/>
    <w:rsid w:val="001873CB"/>
    <w:rsid w:val="001F3F06"/>
    <w:rsid w:val="0020481C"/>
    <w:rsid w:val="00484A6C"/>
    <w:rsid w:val="004A01F2"/>
    <w:rsid w:val="00596EFA"/>
    <w:rsid w:val="0061394B"/>
    <w:rsid w:val="00685F4B"/>
    <w:rsid w:val="00767526"/>
    <w:rsid w:val="00873671"/>
    <w:rsid w:val="00930810"/>
    <w:rsid w:val="00996BD9"/>
    <w:rsid w:val="00B7472E"/>
    <w:rsid w:val="00BB20D1"/>
    <w:rsid w:val="00BE3C88"/>
    <w:rsid w:val="00BF122F"/>
    <w:rsid w:val="00DE71D6"/>
    <w:rsid w:val="00E81A68"/>
    <w:rsid w:val="00FA6364"/>
    <w:rsid w:val="00FC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F122F"/>
    <w:rPr>
      <w:color w:val="808080"/>
    </w:rPr>
  </w:style>
  <w:style w:type="paragraph" w:styleId="BalloonText">
    <w:name w:val="Balloon Text"/>
    <w:basedOn w:val="Normal"/>
    <w:link w:val="BalloonTextChar"/>
    <w:uiPriority w:val="99"/>
    <w:semiHidden/>
    <w:unhideWhenUsed/>
    <w:rsid w:val="00BF122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F122F"/>
    <w:rPr>
      <w:rFonts w:ascii="Tahoma" w:hAnsi="Tahoma" w:cs="Tahoma"/>
      <w:sz w:val="16"/>
      <w:szCs w:val="16"/>
    </w:rPr>
  </w:style>
  <w:style w:type="table" w:styleId="TableGrid">
    <w:name w:val="Table Grid"/>
    <w:basedOn w:val="TableNormal"/>
    <w:uiPriority w:val="59"/>
    <w:rsid w:val="00E81A6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F122F"/>
    <w:rPr>
      <w:color w:val="808080"/>
    </w:rPr>
  </w:style>
  <w:style w:type="paragraph" w:styleId="BalloonText">
    <w:name w:val="Balloon Text"/>
    <w:basedOn w:val="Normal"/>
    <w:link w:val="BalloonTextChar"/>
    <w:uiPriority w:val="99"/>
    <w:semiHidden/>
    <w:unhideWhenUsed/>
    <w:rsid w:val="00BF122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F122F"/>
    <w:rPr>
      <w:rFonts w:ascii="Tahoma" w:hAnsi="Tahoma" w:cs="Tahoma"/>
      <w:sz w:val="16"/>
      <w:szCs w:val="16"/>
    </w:rPr>
  </w:style>
  <w:style w:type="table" w:styleId="TableGrid">
    <w:name w:val="Table Grid"/>
    <w:basedOn w:val="TableNormal"/>
    <w:uiPriority w:val="59"/>
    <w:rsid w:val="00E81A6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998A1-E2C4-4E4F-9BA0-1D3C6EED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MP</cp:lastModifiedBy>
  <cp:revision>2</cp:revision>
  <cp:lastPrinted>2018-06-25T19:42:00Z</cp:lastPrinted>
  <dcterms:created xsi:type="dcterms:W3CDTF">2018-08-04T00:55:00Z</dcterms:created>
  <dcterms:modified xsi:type="dcterms:W3CDTF">2018-08-04T00:55:00Z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16th edition (author-date)</vt:lpwstr>
  </property>
  <property fmtid="{D5CDD505-2E9C-101B-9397-08002B2CF9AE}" pid="4" name="Mendeley Recent Style Id 1_1">
    <vt:lpwstr>http://www.zotero.org/styles/copeia</vt:lpwstr>
  </property>
  <property fmtid="{D5CDD505-2E9C-101B-9397-08002B2CF9AE}" pid="5" name="Mendeley Recent Style Name 1_1">
    <vt:lpwstr>Copeia</vt:lpwstr>
  </property>
  <property fmtid="{D5CDD505-2E9C-101B-9397-08002B2CF9AE}" pid="6" name="Mendeley Recent Style Id 2_1">
    <vt:lpwstr>http://www.zotero.org/styles/ecology</vt:lpwstr>
  </property>
  <property fmtid="{D5CDD505-2E9C-101B-9397-08002B2CF9AE}" pid="7" name="Mendeley Recent Style Name 2_1">
    <vt:lpwstr>Ecology</vt:lpwstr>
  </property>
  <property fmtid="{D5CDD505-2E9C-101B-9397-08002B2CF9AE}" pid="8" name="Mendeley Recent Style Id 3_1">
    <vt:lpwstr>http://www.zotero.org/styles/freshwater-biology</vt:lpwstr>
  </property>
  <property fmtid="{D5CDD505-2E9C-101B-9397-08002B2CF9AE}" pid="9" name="Mendeley Recent Style Name 3_1">
    <vt:lpwstr>Freshwater Biology</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http://www.zotero.org/styles/journal-of-animal-ecology</vt:lpwstr>
  </property>
  <property fmtid="{D5CDD505-2E9C-101B-9397-08002B2CF9AE}" pid="13" name="Mendeley Recent Style Name 5_1">
    <vt:lpwstr>Journal of Animal Ecology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http://www.zotero.org/styles/oecologia</vt:lpwstr>
  </property>
  <property fmtid="{D5CDD505-2E9C-101B-9397-08002B2CF9AE}" pid="21" name="Mendeley Recent Style Name 9_1">
    <vt:lpwstr>Oecologia</vt:lpwstr>
  </property>
</Properties>
</file>